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72AA" w:rsidRDefault="00000000">
      <w:pPr>
        <w:pStyle w:val="CVName"/>
      </w:pPr>
      <w:r>
        <w:t>Omer Denizhan TATAR</w:t>
      </w:r>
    </w:p>
    <w:p w:rsidR="00E172AA" w:rsidRDefault="00000000">
      <w:pPr>
        <w:pStyle w:val="CVSubtitle"/>
      </w:pPr>
      <w:r>
        <w:t>Specialist Physician - Division of Endocrinology and Metabolism, Department of Internal Medicine</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5046"/>
        <w:gridCol w:w="5046"/>
        <w:gridCol w:w="498"/>
      </w:tblGrid>
      <w:tr w:rsidR="00E172AA">
        <w:trPr>
          <w:gridAfter w:val="1"/>
          <w:wAfter w:w="498" w:type="dxa"/>
        </w:trPr>
        <w:tc>
          <w:tcPr>
            <w:tcW w:w="5046" w:type="dxa"/>
            <w:tcMar>
              <w:top w:w="40" w:type="dxa"/>
              <w:left w:w="40" w:type="dxa"/>
              <w:bottom w:w="40" w:type="dxa"/>
              <w:right w:w="40" w:type="dxa"/>
            </w:tcMar>
            <w:vAlign w:val="center"/>
          </w:tcPr>
          <w:p w:rsidR="00E172AA" w:rsidRDefault="00000000">
            <w:r>
              <w:rPr>
                <w:b/>
              </w:rPr>
              <w:t xml:space="preserve">Date of Birth: </w:t>
            </w:r>
            <w:r>
              <w:t>3 June 1991</w:t>
            </w:r>
          </w:p>
          <w:p w:rsidR="00E172AA" w:rsidRDefault="00000000">
            <w:r>
              <w:rPr>
                <w:b/>
              </w:rPr>
              <w:t xml:space="preserve">Place of Birth: </w:t>
            </w:r>
            <w:r>
              <w:t xml:space="preserve">Ankara, </w:t>
            </w:r>
            <w:proofErr w:type="spellStart"/>
            <w:r>
              <w:t>Turkiye</w:t>
            </w:r>
            <w:proofErr w:type="spellEnd"/>
          </w:p>
          <w:p w:rsidR="00E172AA" w:rsidRDefault="00000000">
            <w:r>
              <w:rPr>
                <w:b/>
              </w:rPr>
              <w:t xml:space="preserve">Phone: </w:t>
            </w:r>
            <w:r>
              <w:t>+90 553 868 62 43</w:t>
            </w:r>
            <w:r w:rsidR="004B3E0D">
              <w:t xml:space="preserve"> / </w:t>
            </w:r>
            <w:r w:rsidR="004B3E0D" w:rsidRPr="004B3E0D">
              <w:t>0332</w:t>
            </w:r>
            <w:r w:rsidR="004B3E0D">
              <w:t xml:space="preserve"> </w:t>
            </w:r>
            <w:r w:rsidR="004B3E0D" w:rsidRPr="004B3E0D">
              <w:t>223</w:t>
            </w:r>
            <w:r w:rsidR="004B3E0D">
              <w:t xml:space="preserve"> </w:t>
            </w:r>
            <w:r w:rsidR="004B3E0D" w:rsidRPr="004B3E0D">
              <w:t>60</w:t>
            </w:r>
            <w:r w:rsidR="004B3E0D">
              <w:t xml:space="preserve"> </w:t>
            </w:r>
            <w:r w:rsidR="004B3E0D" w:rsidRPr="004B3E0D">
              <w:t>00</w:t>
            </w:r>
          </w:p>
        </w:tc>
        <w:tc>
          <w:tcPr>
            <w:tcW w:w="5046" w:type="dxa"/>
            <w:tcMar>
              <w:top w:w="40" w:type="dxa"/>
              <w:left w:w="40" w:type="dxa"/>
              <w:bottom w:w="40" w:type="dxa"/>
              <w:right w:w="40" w:type="dxa"/>
            </w:tcMar>
            <w:vAlign w:val="center"/>
          </w:tcPr>
          <w:p w:rsidR="00DC45A3" w:rsidRPr="005F2723" w:rsidRDefault="00000000">
            <w:pPr>
              <w:rPr>
                <w:szCs w:val="20"/>
              </w:rPr>
            </w:pPr>
            <w:r w:rsidRPr="005F2723">
              <w:rPr>
                <w:b/>
                <w:szCs w:val="20"/>
              </w:rPr>
              <w:t xml:space="preserve">Email: </w:t>
            </w:r>
            <w:hyperlink r:id="rId8">
              <w:r w:rsidRPr="005F2723">
                <w:rPr>
                  <w:color w:val="000000" w:themeColor="text1"/>
                  <w:szCs w:val="20"/>
                </w:rPr>
                <w:t>odenizhanmd@gmail.com</w:t>
              </w:r>
            </w:hyperlink>
            <w:r w:rsidR="00694F49" w:rsidRPr="005F2723">
              <w:rPr>
                <w:color w:val="000000" w:themeColor="text1"/>
                <w:szCs w:val="20"/>
              </w:rPr>
              <w:t xml:space="preserve"> / </w:t>
            </w:r>
            <w:r w:rsidR="00694F49" w:rsidRPr="005F2723">
              <w:rPr>
                <w:rStyle w:val="Kpr"/>
                <w:rFonts w:cstheme="minorHAnsi"/>
                <w:color w:val="000000" w:themeColor="text1"/>
                <w:szCs w:val="20"/>
                <w:u w:val="none"/>
              </w:rPr>
              <w:t>omerdenizhan.tatar@erbakan.edu.tr</w:t>
            </w:r>
          </w:p>
          <w:p w:rsidR="00E172AA" w:rsidRPr="005F2723" w:rsidRDefault="00000000">
            <w:pPr>
              <w:rPr>
                <w:szCs w:val="20"/>
              </w:rPr>
            </w:pPr>
            <w:r w:rsidRPr="005F2723">
              <w:rPr>
                <w:b/>
                <w:szCs w:val="20"/>
              </w:rPr>
              <w:t xml:space="preserve">ORCID </w:t>
            </w:r>
            <w:r w:rsidR="00DC45A3" w:rsidRPr="005F2723">
              <w:rPr>
                <w:b/>
                <w:szCs w:val="20"/>
              </w:rPr>
              <w:t>I</w:t>
            </w:r>
            <w:r w:rsidRPr="005F2723">
              <w:rPr>
                <w:b/>
                <w:szCs w:val="20"/>
              </w:rPr>
              <w:t xml:space="preserve">D: </w:t>
            </w:r>
            <w:r w:rsidRPr="005F2723">
              <w:rPr>
                <w:szCs w:val="20"/>
              </w:rPr>
              <w:t>0000-0002-1860-7965</w:t>
            </w:r>
          </w:p>
          <w:p w:rsidR="00E172AA" w:rsidRPr="005F2723" w:rsidRDefault="00000000">
            <w:pPr>
              <w:rPr>
                <w:szCs w:val="20"/>
              </w:rPr>
            </w:pPr>
            <w:r w:rsidRPr="005F2723">
              <w:rPr>
                <w:b/>
                <w:szCs w:val="20"/>
              </w:rPr>
              <w:t xml:space="preserve">Web of Science ResearcherID: </w:t>
            </w:r>
            <w:r w:rsidRPr="005F2723">
              <w:rPr>
                <w:szCs w:val="20"/>
              </w:rPr>
              <w:t>GMX-2986-2022</w:t>
            </w:r>
          </w:p>
          <w:p w:rsidR="00E172AA" w:rsidRPr="005F2723" w:rsidRDefault="00000000">
            <w:pPr>
              <w:rPr>
                <w:szCs w:val="20"/>
              </w:rPr>
            </w:pPr>
            <w:r w:rsidRPr="005F2723">
              <w:rPr>
                <w:b/>
                <w:szCs w:val="20"/>
              </w:rPr>
              <w:t xml:space="preserve">Scopus ID: </w:t>
            </w:r>
            <w:r w:rsidRPr="005F2723">
              <w:rPr>
                <w:szCs w:val="20"/>
              </w:rPr>
              <w:t>58246563800</w:t>
            </w:r>
          </w:p>
          <w:p w:rsidR="00E172AA" w:rsidRDefault="00000000">
            <w:pPr>
              <w:rPr>
                <w:szCs w:val="20"/>
              </w:rPr>
            </w:pPr>
            <w:r w:rsidRPr="005F2723">
              <w:rPr>
                <w:b/>
                <w:szCs w:val="20"/>
              </w:rPr>
              <w:t xml:space="preserve">Google Scholar ID: </w:t>
            </w:r>
            <w:r w:rsidRPr="005F2723">
              <w:rPr>
                <w:szCs w:val="20"/>
              </w:rPr>
              <w:t>9-2S5LsAAAAJ</w:t>
            </w:r>
          </w:p>
          <w:p w:rsidR="0089178E" w:rsidRDefault="00A5648B">
            <w:pPr>
              <w:rPr>
                <w:szCs w:val="20"/>
              </w:rPr>
            </w:pPr>
            <w:r w:rsidRPr="00A5648B">
              <w:rPr>
                <w:b/>
                <w:bCs/>
              </w:rPr>
              <w:t>TUBITAK Researcher ID</w:t>
            </w:r>
            <w:r w:rsidR="0089178E" w:rsidRPr="00A5648B">
              <w:rPr>
                <w:rFonts w:cstheme="minorHAnsi"/>
                <w:b/>
                <w:bCs/>
                <w:color w:val="000000"/>
                <w:szCs w:val="20"/>
              </w:rPr>
              <w:t>:</w:t>
            </w:r>
            <w:r w:rsidR="0089178E" w:rsidRPr="005F2723">
              <w:rPr>
                <w:rFonts w:cstheme="minorHAnsi"/>
                <w:color w:val="000000"/>
                <w:szCs w:val="20"/>
              </w:rPr>
              <w:t xml:space="preserve"> TBTK-0228-5730</w:t>
            </w:r>
            <w:r w:rsidR="0089178E">
              <w:rPr>
                <w:rFonts w:cstheme="minorHAnsi"/>
                <w:color w:val="000000"/>
                <w:szCs w:val="20"/>
              </w:rPr>
              <w:t xml:space="preserve">                                                                                                                      </w:t>
            </w:r>
          </w:p>
          <w:p w:rsidR="005F2723" w:rsidRPr="0089178E" w:rsidRDefault="0089178E" w:rsidP="0089178E">
            <w:pPr>
              <w:rPr>
                <w:szCs w:val="20"/>
              </w:rPr>
            </w:pPr>
            <w:r w:rsidRPr="005F2723">
              <w:rPr>
                <w:rFonts w:cstheme="minorHAnsi"/>
                <w:b/>
                <w:bCs/>
                <w:color w:val="000000"/>
                <w:szCs w:val="20"/>
              </w:rPr>
              <w:t>ISNI:</w:t>
            </w:r>
            <w:r w:rsidRPr="005F2723">
              <w:rPr>
                <w:rFonts w:cstheme="minorHAnsi"/>
                <w:color w:val="000000"/>
                <w:szCs w:val="20"/>
              </w:rPr>
              <w:t xml:space="preserve"> </w:t>
            </w:r>
            <w:r w:rsidRPr="005F2723">
              <w:rPr>
                <w:szCs w:val="20"/>
              </w:rPr>
              <w:t>0000 0005 3021 1973</w:t>
            </w:r>
          </w:p>
        </w:tc>
      </w:tr>
      <w:tr w:rsidR="00E172AA">
        <w:trPr>
          <w:gridAfter w:val="1"/>
          <w:wAfter w:w="498" w:type="dxa"/>
        </w:trPr>
        <w:tc>
          <w:tcPr>
            <w:tcW w:w="5046" w:type="dxa"/>
            <w:tcMar>
              <w:top w:w="40" w:type="dxa"/>
              <w:left w:w="40" w:type="dxa"/>
              <w:bottom w:w="40" w:type="dxa"/>
              <w:right w:w="40" w:type="dxa"/>
            </w:tcMar>
            <w:vAlign w:val="center"/>
          </w:tcPr>
          <w:p w:rsidR="00E172AA" w:rsidRDefault="00E172AA"/>
        </w:tc>
        <w:tc>
          <w:tcPr>
            <w:tcW w:w="5046" w:type="dxa"/>
            <w:tcMar>
              <w:top w:w="40" w:type="dxa"/>
              <w:left w:w="40" w:type="dxa"/>
              <w:bottom w:w="40" w:type="dxa"/>
              <w:right w:w="40" w:type="dxa"/>
            </w:tcMar>
            <w:vAlign w:val="center"/>
          </w:tcPr>
          <w:p w:rsidR="00E172AA" w:rsidRDefault="00E172AA"/>
        </w:tc>
      </w:tr>
      <w:tr w:rsidR="00E172AA">
        <w:tc>
          <w:tcPr>
            <w:tcW w:w="10092" w:type="dxa"/>
            <w:gridSpan w:val="3"/>
            <w:shd w:val="clear" w:color="auto" w:fill="1F4E79"/>
            <w:tcMar>
              <w:top w:w="55" w:type="dxa"/>
              <w:left w:w="110" w:type="dxa"/>
              <w:bottom w:w="65" w:type="dxa"/>
              <w:right w:w="100" w:type="dxa"/>
            </w:tcMar>
          </w:tcPr>
          <w:p w:rsidR="00E172AA" w:rsidRDefault="00000000">
            <w:pPr>
              <w:pStyle w:val="SectionHeadingCV"/>
            </w:pPr>
            <w:r>
              <w:t>EDUCATION</w:t>
            </w:r>
          </w:p>
        </w:tc>
      </w:tr>
    </w:tbl>
    <w:tbl>
      <w:tblPr>
        <w:tblStyle w:val="TabloKlavuzu"/>
        <w:tblW w:w="0" w:type="auto"/>
        <w:tblLayout w:type="fixed"/>
        <w:tblLook w:val="04A0" w:firstRow="1" w:lastRow="0" w:firstColumn="1" w:lastColumn="0" w:noHBand="0" w:noVBand="1"/>
      </w:tblPr>
      <w:tblGrid>
        <w:gridCol w:w="3515"/>
        <w:gridCol w:w="4592"/>
        <w:gridCol w:w="1701"/>
      </w:tblGrid>
      <w:tr w:rsidR="00E172AA">
        <w:tc>
          <w:tcPr>
            <w:tcW w:w="3515" w:type="dxa"/>
            <w:shd w:val="clear" w:color="auto" w:fill="DCE6F1"/>
            <w:tcMar>
              <w:top w:w="70" w:type="dxa"/>
              <w:left w:w="80" w:type="dxa"/>
              <w:bottom w:w="70" w:type="dxa"/>
              <w:right w:w="80" w:type="dxa"/>
            </w:tcMar>
          </w:tcPr>
          <w:p w:rsidR="00E172AA" w:rsidRDefault="00000000">
            <w:r>
              <w:rPr>
                <w:b/>
              </w:rPr>
              <w:t>Program</w:t>
            </w:r>
          </w:p>
        </w:tc>
        <w:tc>
          <w:tcPr>
            <w:tcW w:w="4592" w:type="dxa"/>
            <w:shd w:val="clear" w:color="auto" w:fill="DCE6F1"/>
            <w:tcMar>
              <w:top w:w="70" w:type="dxa"/>
              <w:left w:w="80" w:type="dxa"/>
              <w:bottom w:w="70" w:type="dxa"/>
              <w:right w:w="80" w:type="dxa"/>
            </w:tcMar>
          </w:tcPr>
          <w:p w:rsidR="00E172AA" w:rsidRDefault="00000000">
            <w:r>
              <w:rPr>
                <w:b/>
              </w:rPr>
              <w:t>Institution</w:t>
            </w:r>
          </w:p>
        </w:tc>
        <w:tc>
          <w:tcPr>
            <w:tcW w:w="1701" w:type="dxa"/>
            <w:shd w:val="clear" w:color="auto" w:fill="DCE6F1"/>
            <w:tcMar>
              <w:top w:w="70" w:type="dxa"/>
              <w:left w:w="80" w:type="dxa"/>
              <w:bottom w:w="70" w:type="dxa"/>
              <w:right w:w="80" w:type="dxa"/>
            </w:tcMar>
          </w:tcPr>
          <w:p w:rsidR="00E172AA" w:rsidRDefault="00000000">
            <w:r>
              <w:rPr>
                <w:b/>
              </w:rPr>
              <w:t>Years</w:t>
            </w:r>
          </w:p>
        </w:tc>
      </w:tr>
      <w:tr w:rsidR="00E172AA">
        <w:tc>
          <w:tcPr>
            <w:tcW w:w="3515" w:type="dxa"/>
            <w:tcMar>
              <w:top w:w="70" w:type="dxa"/>
              <w:left w:w="80" w:type="dxa"/>
              <w:bottom w:w="70" w:type="dxa"/>
              <w:right w:w="80" w:type="dxa"/>
            </w:tcMar>
            <w:vAlign w:val="center"/>
          </w:tcPr>
          <w:p w:rsidR="00E172AA" w:rsidRDefault="00000000">
            <w:r>
              <w:rPr>
                <w:sz w:val="19"/>
              </w:rPr>
              <w:t>Fellowship in Endocrinology and Metabolism</w:t>
            </w:r>
          </w:p>
        </w:tc>
        <w:tc>
          <w:tcPr>
            <w:tcW w:w="4592" w:type="dxa"/>
            <w:tcMar>
              <w:top w:w="70" w:type="dxa"/>
              <w:left w:w="80" w:type="dxa"/>
              <w:bottom w:w="70" w:type="dxa"/>
              <w:right w:w="80" w:type="dxa"/>
            </w:tcMar>
            <w:vAlign w:val="center"/>
          </w:tcPr>
          <w:p w:rsidR="00E172AA" w:rsidRDefault="00000000">
            <w:r>
              <w:t>Necmettin Erbakan University Faculty of Medicine, Division of Endocrinology and Metabolism</w:t>
            </w:r>
          </w:p>
        </w:tc>
        <w:tc>
          <w:tcPr>
            <w:tcW w:w="1701" w:type="dxa"/>
            <w:tcMar>
              <w:top w:w="70" w:type="dxa"/>
              <w:left w:w="80" w:type="dxa"/>
              <w:bottom w:w="70" w:type="dxa"/>
              <w:right w:w="80" w:type="dxa"/>
            </w:tcMar>
            <w:vAlign w:val="center"/>
          </w:tcPr>
          <w:p w:rsidR="00E172AA" w:rsidRDefault="00000000">
            <w:pPr>
              <w:jc w:val="center"/>
            </w:pPr>
            <w:r>
              <w:rPr>
                <w:sz w:val="19"/>
              </w:rPr>
              <w:t xml:space="preserve">2025 </w:t>
            </w:r>
            <w:r w:rsidR="00DC45A3">
              <w:rPr>
                <w:sz w:val="19"/>
              </w:rPr>
              <w:t>–</w:t>
            </w:r>
            <w:r>
              <w:rPr>
                <w:sz w:val="19"/>
              </w:rPr>
              <w:t xml:space="preserve"> Present</w:t>
            </w:r>
          </w:p>
        </w:tc>
      </w:tr>
      <w:tr w:rsidR="00E172AA">
        <w:tc>
          <w:tcPr>
            <w:tcW w:w="3515" w:type="dxa"/>
            <w:tcMar>
              <w:top w:w="70" w:type="dxa"/>
              <w:left w:w="80" w:type="dxa"/>
              <w:bottom w:w="70" w:type="dxa"/>
              <w:right w:w="80" w:type="dxa"/>
            </w:tcMar>
            <w:vAlign w:val="center"/>
          </w:tcPr>
          <w:p w:rsidR="00E172AA" w:rsidRDefault="00000000">
            <w:r>
              <w:rPr>
                <w:sz w:val="19"/>
              </w:rPr>
              <w:t>Residency in Internal Medicine</w:t>
            </w:r>
          </w:p>
        </w:tc>
        <w:tc>
          <w:tcPr>
            <w:tcW w:w="4592" w:type="dxa"/>
            <w:tcMar>
              <w:top w:w="70" w:type="dxa"/>
              <w:left w:w="80" w:type="dxa"/>
              <w:bottom w:w="70" w:type="dxa"/>
              <w:right w:w="80" w:type="dxa"/>
            </w:tcMar>
            <w:vAlign w:val="center"/>
          </w:tcPr>
          <w:p w:rsidR="00E172AA" w:rsidRDefault="00000000">
            <w:r>
              <w:t>Hacettepe University Faculty of Medicine, Department of Internal Medicine</w:t>
            </w:r>
          </w:p>
        </w:tc>
        <w:tc>
          <w:tcPr>
            <w:tcW w:w="1701" w:type="dxa"/>
            <w:tcMar>
              <w:top w:w="70" w:type="dxa"/>
              <w:left w:w="80" w:type="dxa"/>
              <w:bottom w:w="70" w:type="dxa"/>
              <w:right w:w="80" w:type="dxa"/>
            </w:tcMar>
            <w:vAlign w:val="center"/>
          </w:tcPr>
          <w:p w:rsidR="00E172AA" w:rsidRDefault="00000000">
            <w:pPr>
              <w:jc w:val="center"/>
            </w:pPr>
            <w:r>
              <w:rPr>
                <w:sz w:val="19"/>
              </w:rPr>
              <w:t xml:space="preserve">2018 </w:t>
            </w:r>
            <w:r w:rsidR="00DC45A3">
              <w:rPr>
                <w:sz w:val="19"/>
              </w:rPr>
              <w:t>–</w:t>
            </w:r>
            <w:r>
              <w:rPr>
                <w:sz w:val="19"/>
              </w:rPr>
              <w:t xml:space="preserve"> 2022</w:t>
            </w:r>
          </w:p>
        </w:tc>
      </w:tr>
      <w:tr w:rsidR="00E172AA">
        <w:tc>
          <w:tcPr>
            <w:tcW w:w="3515" w:type="dxa"/>
            <w:tcMar>
              <w:top w:w="70" w:type="dxa"/>
              <w:left w:w="80" w:type="dxa"/>
              <w:bottom w:w="70" w:type="dxa"/>
              <w:right w:w="80" w:type="dxa"/>
            </w:tcMar>
            <w:vAlign w:val="center"/>
          </w:tcPr>
          <w:p w:rsidR="00E172AA" w:rsidRDefault="00000000">
            <w:r>
              <w:rPr>
                <w:sz w:val="19"/>
              </w:rPr>
              <w:t>Medical Degree</w:t>
            </w:r>
          </w:p>
        </w:tc>
        <w:tc>
          <w:tcPr>
            <w:tcW w:w="4592" w:type="dxa"/>
            <w:tcMar>
              <w:top w:w="70" w:type="dxa"/>
              <w:left w:w="80" w:type="dxa"/>
              <w:bottom w:w="70" w:type="dxa"/>
              <w:right w:w="80" w:type="dxa"/>
            </w:tcMar>
            <w:vAlign w:val="center"/>
          </w:tcPr>
          <w:p w:rsidR="00E172AA" w:rsidRDefault="00000000">
            <w:r>
              <w:rPr>
                <w:sz w:val="19"/>
              </w:rPr>
              <w:t>Erciyes University Faculty of Medicine</w:t>
            </w:r>
          </w:p>
        </w:tc>
        <w:tc>
          <w:tcPr>
            <w:tcW w:w="1701" w:type="dxa"/>
            <w:tcMar>
              <w:top w:w="70" w:type="dxa"/>
              <w:left w:w="80" w:type="dxa"/>
              <w:bottom w:w="70" w:type="dxa"/>
              <w:right w:w="80" w:type="dxa"/>
            </w:tcMar>
            <w:vAlign w:val="center"/>
          </w:tcPr>
          <w:p w:rsidR="00E172AA" w:rsidRDefault="00000000">
            <w:pPr>
              <w:jc w:val="center"/>
            </w:pPr>
            <w:r>
              <w:rPr>
                <w:sz w:val="19"/>
              </w:rPr>
              <w:t>2010 - 2016</w:t>
            </w:r>
          </w:p>
        </w:tc>
      </w:tr>
    </w:tbl>
    <w:p w:rsidR="00E172AA" w:rsidRDefault="00E172AA"/>
    <w:tbl>
      <w:tblPr>
        <w:tblW w:w="0" w:type="auto"/>
        <w:tblBorders>
          <w:top w:val="nil"/>
          <w:left w:val="nil"/>
          <w:bottom w:val="nil"/>
          <w:right w:val="nil"/>
          <w:insideH w:val="nil"/>
          <w:insideV w:val="nil"/>
        </w:tblBorders>
        <w:tblLook w:val="04A0" w:firstRow="1" w:lastRow="0" w:firstColumn="1" w:lastColumn="0" w:noHBand="0" w:noVBand="1"/>
      </w:tblPr>
      <w:tblGrid>
        <w:gridCol w:w="10092"/>
      </w:tblGrid>
      <w:tr w:rsidR="00E172AA">
        <w:tc>
          <w:tcPr>
            <w:tcW w:w="10092" w:type="dxa"/>
            <w:shd w:val="clear" w:color="auto" w:fill="1F4E79"/>
            <w:tcMar>
              <w:top w:w="55" w:type="dxa"/>
              <w:left w:w="110" w:type="dxa"/>
              <w:bottom w:w="65" w:type="dxa"/>
              <w:right w:w="100" w:type="dxa"/>
            </w:tcMar>
          </w:tcPr>
          <w:p w:rsidR="00E172AA" w:rsidRDefault="00000000">
            <w:pPr>
              <w:pStyle w:val="SectionHeadingCV"/>
            </w:pPr>
            <w:r>
              <w:t>PROFESSIONAL AND ACADEMIC EXPERIENCE</w:t>
            </w:r>
          </w:p>
        </w:tc>
      </w:tr>
    </w:tbl>
    <w:tbl>
      <w:tblPr>
        <w:tblStyle w:val="TabloKlavuzu"/>
        <w:tblW w:w="0" w:type="auto"/>
        <w:tblLayout w:type="fixed"/>
        <w:tblLook w:val="04A0" w:firstRow="1" w:lastRow="0" w:firstColumn="1" w:lastColumn="0" w:noHBand="0" w:noVBand="1"/>
      </w:tblPr>
      <w:tblGrid>
        <w:gridCol w:w="3515"/>
        <w:gridCol w:w="4592"/>
        <w:gridCol w:w="1701"/>
      </w:tblGrid>
      <w:tr w:rsidR="00E172AA">
        <w:tc>
          <w:tcPr>
            <w:tcW w:w="3515" w:type="dxa"/>
            <w:shd w:val="clear" w:color="auto" w:fill="DCE6F1"/>
            <w:tcMar>
              <w:top w:w="70" w:type="dxa"/>
              <w:left w:w="80" w:type="dxa"/>
              <w:bottom w:w="70" w:type="dxa"/>
              <w:right w:w="80" w:type="dxa"/>
            </w:tcMar>
          </w:tcPr>
          <w:p w:rsidR="00E172AA" w:rsidRDefault="00000000">
            <w:r>
              <w:rPr>
                <w:b/>
              </w:rPr>
              <w:t>Position</w:t>
            </w:r>
          </w:p>
        </w:tc>
        <w:tc>
          <w:tcPr>
            <w:tcW w:w="4592" w:type="dxa"/>
            <w:shd w:val="clear" w:color="auto" w:fill="DCE6F1"/>
            <w:tcMar>
              <w:top w:w="70" w:type="dxa"/>
              <w:left w:w="80" w:type="dxa"/>
              <w:bottom w:w="70" w:type="dxa"/>
              <w:right w:w="80" w:type="dxa"/>
            </w:tcMar>
          </w:tcPr>
          <w:p w:rsidR="00E172AA" w:rsidRDefault="00000000">
            <w:r>
              <w:rPr>
                <w:b/>
              </w:rPr>
              <w:t>Institution</w:t>
            </w:r>
          </w:p>
        </w:tc>
        <w:tc>
          <w:tcPr>
            <w:tcW w:w="1701" w:type="dxa"/>
            <w:shd w:val="clear" w:color="auto" w:fill="DCE6F1"/>
            <w:tcMar>
              <w:top w:w="70" w:type="dxa"/>
              <w:left w:w="80" w:type="dxa"/>
              <w:bottom w:w="70" w:type="dxa"/>
              <w:right w:w="80" w:type="dxa"/>
            </w:tcMar>
          </w:tcPr>
          <w:p w:rsidR="00E172AA" w:rsidRDefault="00000000">
            <w:r>
              <w:rPr>
                <w:b/>
              </w:rPr>
              <w:t>Years</w:t>
            </w:r>
          </w:p>
        </w:tc>
      </w:tr>
      <w:tr w:rsidR="00E172AA">
        <w:tc>
          <w:tcPr>
            <w:tcW w:w="3515" w:type="dxa"/>
            <w:tcMar>
              <w:top w:w="70" w:type="dxa"/>
              <w:left w:w="80" w:type="dxa"/>
              <w:bottom w:w="70" w:type="dxa"/>
              <w:right w:w="80" w:type="dxa"/>
            </w:tcMar>
            <w:vAlign w:val="center"/>
          </w:tcPr>
          <w:p w:rsidR="00E172AA" w:rsidRDefault="00000000">
            <w:r>
              <w:rPr>
                <w:sz w:val="19"/>
              </w:rPr>
              <w:t>Fellow, Endocrinology and Metabolism</w:t>
            </w:r>
          </w:p>
        </w:tc>
        <w:tc>
          <w:tcPr>
            <w:tcW w:w="4592" w:type="dxa"/>
            <w:tcMar>
              <w:top w:w="70" w:type="dxa"/>
              <w:left w:w="80" w:type="dxa"/>
              <w:bottom w:w="70" w:type="dxa"/>
              <w:right w:w="80" w:type="dxa"/>
            </w:tcMar>
            <w:vAlign w:val="center"/>
          </w:tcPr>
          <w:p w:rsidR="00E172AA" w:rsidRDefault="00000000">
            <w:r>
              <w:t>Necmettin Erbakan University Faculty of Medicine, Division of Endocrinology and Metabolism</w:t>
            </w:r>
          </w:p>
        </w:tc>
        <w:tc>
          <w:tcPr>
            <w:tcW w:w="1701" w:type="dxa"/>
            <w:tcMar>
              <w:top w:w="70" w:type="dxa"/>
              <w:left w:w="80" w:type="dxa"/>
              <w:bottom w:w="70" w:type="dxa"/>
              <w:right w:w="80" w:type="dxa"/>
            </w:tcMar>
            <w:vAlign w:val="center"/>
          </w:tcPr>
          <w:p w:rsidR="00E172AA" w:rsidRDefault="00000000">
            <w:pPr>
              <w:jc w:val="center"/>
            </w:pPr>
            <w:r>
              <w:rPr>
                <w:sz w:val="19"/>
              </w:rPr>
              <w:t>2025 - Present</w:t>
            </w:r>
          </w:p>
        </w:tc>
      </w:tr>
      <w:tr w:rsidR="00E172AA">
        <w:tc>
          <w:tcPr>
            <w:tcW w:w="3515" w:type="dxa"/>
            <w:tcMar>
              <w:top w:w="70" w:type="dxa"/>
              <w:left w:w="80" w:type="dxa"/>
              <w:bottom w:w="70" w:type="dxa"/>
              <w:right w:w="80" w:type="dxa"/>
            </w:tcMar>
            <w:vAlign w:val="center"/>
          </w:tcPr>
          <w:p w:rsidR="00E172AA" w:rsidRDefault="00000000">
            <w:r>
              <w:rPr>
                <w:sz w:val="19"/>
              </w:rPr>
              <w:t>Specialist Physician</w:t>
            </w:r>
          </w:p>
        </w:tc>
        <w:tc>
          <w:tcPr>
            <w:tcW w:w="4592" w:type="dxa"/>
            <w:tcMar>
              <w:top w:w="70" w:type="dxa"/>
              <w:left w:w="80" w:type="dxa"/>
              <w:bottom w:w="70" w:type="dxa"/>
              <w:right w:w="80" w:type="dxa"/>
            </w:tcMar>
            <w:vAlign w:val="center"/>
          </w:tcPr>
          <w:p w:rsidR="00E172AA" w:rsidRDefault="00000000">
            <w:r>
              <w:rPr>
                <w:sz w:val="19"/>
              </w:rPr>
              <w:t>Sinop Turkeli State Hospital</w:t>
            </w:r>
          </w:p>
        </w:tc>
        <w:tc>
          <w:tcPr>
            <w:tcW w:w="1701" w:type="dxa"/>
            <w:tcMar>
              <w:top w:w="70" w:type="dxa"/>
              <w:left w:w="80" w:type="dxa"/>
              <w:bottom w:w="70" w:type="dxa"/>
              <w:right w:w="80" w:type="dxa"/>
            </w:tcMar>
            <w:vAlign w:val="center"/>
          </w:tcPr>
          <w:p w:rsidR="00E172AA" w:rsidRDefault="00000000">
            <w:pPr>
              <w:jc w:val="center"/>
            </w:pPr>
            <w:r>
              <w:rPr>
                <w:sz w:val="19"/>
              </w:rPr>
              <w:t>2023 - 2024</w:t>
            </w:r>
          </w:p>
        </w:tc>
      </w:tr>
      <w:tr w:rsidR="00E172AA">
        <w:tc>
          <w:tcPr>
            <w:tcW w:w="3515" w:type="dxa"/>
            <w:tcMar>
              <w:top w:w="70" w:type="dxa"/>
              <w:left w:w="80" w:type="dxa"/>
              <w:bottom w:w="70" w:type="dxa"/>
              <w:right w:w="80" w:type="dxa"/>
            </w:tcMar>
            <w:vAlign w:val="center"/>
          </w:tcPr>
          <w:p w:rsidR="00E172AA" w:rsidRDefault="00000000">
            <w:r>
              <w:rPr>
                <w:sz w:val="19"/>
              </w:rPr>
              <w:t>Resident Physician, Internal Medicine</w:t>
            </w:r>
          </w:p>
        </w:tc>
        <w:tc>
          <w:tcPr>
            <w:tcW w:w="4592" w:type="dxa"/>
            <w:tcMar>
              <w:top w:w="70" w:type="dxa"/>
              <w:left w:w="80" w:type="dxa"/>
              <w:bottom w:w="70" w:type="dxa"/>
              <w:right w:w="80" w:type="dxa"/>
            </w:tcMar>
            <w:vAlign w:val="center"/>
          </w:tcPr>
          <w:p w:rsidR="00E172AA" w:rsidRDefault="00000000">
            <w:r>
              <w:t>Hacettepe University Faculty of Medicine, Department of Internal Medicine</w:t>
            </w:r>
          </w:p>
        </w:tc>
        <w:tc>
          <w:tcPr>
            <w:tcW w:w="1701" w:type="dxa"/>
            <w:tcMar>
              <w:top w:w="70" w:type="dxa"/>
              <w:left w:w="80" w:type="dxa"/>
              <w:bottom w:w="70" w:type="dxa"/>
              <w:right w:w="80" w:type="dxa"/>
            </w:tcMar>
            <w:vAlign w:val="center"/>
          </w:tcPr>
          <w:p w:rsidR="00E172AA" w:rsidRDefault="00000000">
            <w:pPr>
              <w:jc w:val="center"/>
            </w:pPr>
            <w:r>
              <w:rPr>
                <w:sz w:val="19"/>
              </w:rPr>
              <w:t>2018 - 2022</w:t>
            </w:r>
          </w:p>
        </w:tc>
      </w:tr>
      <w:tr w:rsidR="00E172AA">
        <w:tc>
          <w:tcPr>
            <w:tcW w:w="3515" w:type="dxa"/>
            <w:tcMar>
              <w:top w:w="70" w:type="dxa"/>
              <w:left w:w="80" w:type="dxa"/>
              <w:bottom w:w="70" w:type="dxa"/>
              <w:right w:w="80" w:type="dxa"/>
            </w:tcMar>
            <w:vAlign w:val="center"/>
          </w:tcPr>
          <w:p w:rsidR="00E172AA" w:rsidRDefault="00000000">
            <w:r>
              <w:rPr>
                <w:sz w:val="19"/>
              </w:rPr>
              <w:t>Physician</w:t>
            </w:r>
          </w:p>
        </w:tc>
        <w:tc>
          <w:tcPr>
            <w:tcW w:w="4592" w:type="dxa"/>
            <w:tcMar>
              <w:top w:w="70" w:type="dxa"/>
              <w:left w:w="80" w:type="dxa"/>
              <w:bottom w:w="70" w:type="dxa"/>
              <w:right w:w="80" w:type="dxa"/>
            </w:tcMar>
            <w:vAlign w:val="center"/>
          </w:tcPr>
          <w:p w:rsidR="00E172AA" w:rsidRDefault="00000000">
            <w:r>
              <w:rPr>
                <w:sz w:val="19"/>
              </w:rPr>
              <w:t>Diyarbakir Kayapinar Community Health Center</w:t>
            </w:r>
          </w:p>
        </w:tc>
        <w:tc>
          <w:tcPr>
            <w:tcW w:w="1701" w:type="dxa"/>
            <w:tcMar>
              <w:top w:w="70" w:type="dxa"/>
              <w:left w:w="80" w:type="dxa"/>
              <w:bottom w:w="70" w:type="dxa"/>
              <w:right w:w="80" w:type="dxa"/>
            </w:tcMar>
            <w:vAlign w:val="center"/>
          </w:tcPr>
          <w:p w:rsidR="00E172AA" w:rsidRDefault="00000000">
            <w:pPr>
              <w:jc w:val="center"/>
            </w:pPr>
            <w:r>
              <w:rPr>
                <w:sz w:val="19"/>
              </w:rPr>
              <w:t>2016 - 2017</w:t>
            </w:r>
          </w:p>
        </w:tc>
      </w:tr>
    </w:tbl>
    <w:p w:rsidR="00E172AA" w:rsidRDefault="00E172AA"/>
    <w:tbl>
      <w:tblPr>
        <w:tblW w:w="0" w:type="auto"/>
        <w:tblBorders>
          <w:top w:val="nil"/>
          <w:left w:val="nil"/>
          <w:bottom w:val="nil"/>
          <w:right w:val="nil"/>
          <w:insideH w:val="nil"/>
          <w:insideV w:val="nil"/>
        </w:tblBorders>
        <w:tblLook w:val="04A0" w:firstRow="1" w:lastRow="0" w:firstColumn="1" w:lastColumn="0" w:noHBand="0" w:noVBand="1"/>
      </w:tblPr>
      <w:tblGrid>
        <w:gridCol w:w="10092"/>
      </w:tblGrid>
      <w:tr w:rsidR="00E172AA">
        <w:tc>
          <w:tcPr>
            <w:tcW w:w="10092" w:type="dxa"/>
            <w:shd w:val="clear" w:color="auto" w:fill="1F4E79"/>
            <w:tcMar>
              <w:top w:w="55" w:type="dxa"/>
              <w:left w:w="110" w:type="dxa"/>
              <w:bottom w:w="65" w:type="dxa"/>
              <w:right w:w="100" w:type="dxa"/>
            </w:tcMar>
          </w:tcPr>
          <w:p w:rsidR="00E172AA" w:rsidRDefault="00000000">
            <w:pPr>
              <w:pStyle w:val="SectionHeadingCV"/>
            </w:pPr>
            <w:r>
              <w:t>PUBLICATIONS</w:t>
            </w:r>
          </w:p>
        </w:tc>
      </w:tr>
    </w:tbl>
    <w:p w:rsidR="001B5C3B" w:rsidRDefault="001B5C3B" w:rsidP="001B5C3B">
      <w:pPr>
        <w:pStyle w:val="ListHangingCV"/>
        <w:ind w:left="0" w:firstLine="0"/>
      </w:pPr>
    </w:p>
    <w:p w:rsidR="001B5C3B" w:rsidRPr="001B5C3B" w:rsidRDefault="00000000" w:rsidP="001B5C3B">
      <w:pPr>
        <w:autoSpaceDE w:val="0"/>
        <w:autoSpaceDN w:val="0"/>
        <w:adjustRightInd w:val="0"/>
        <w:spacing w:after="120" w:line="240" w:lineRule="auto"/>
        <w:rPr>
          <w:rFonts w:cstheme="minorHAnsi"/>
          <w:color w:val="000000" w:themeColor="text1"/>
          <w:sz w:val="18"/>
          <w:szCs w:val="18"/>
        </w:rPr>
      </w:pPr>
      <w:r w:rsidRPr="001B5C3B">
        <w:rPr>
          <w:sz w:val="18"/>
          <w:szCs w:val="18"/>
        </w:rPr>
        <w:t xml:space="preserve">1. </w:t>
      </w:r>
      <w:r w:rsidR="001B5C3B" w:rsidRPr="001B5C3B">
        <w:rPr>
          <w:rFonts w:cstheme="minorHAnsi"/>
          <w:color w:val="000000" w:themeColor="text1"/>
          <w:sz w:val="18"/>
          <w:szCs w:val="18"/>
        </w:rPr>
        <w:t>Promising but Not Yet Definitive: Interpreting Prolactin-Adjusted Inferior Petrosal Sinus Sampling in Adrenocorticotropic Hormone-Dependent Cushing Syndrome. OD Tatar (2026) Journal of Neuroendocrinology, Doi: https://doi.org/10.1111/jne.70217</w:t>
      </w:r>
    </w:p>
    <w:p w:rsidR="001B5C3B" w:rsidRPr="001B5C3B" w:rsidRDefault="001B5C3B" w:rsidP="001B5C3B">
      <w:pPr>
        <w:autoSpaceDE w:val="0"/>
        <w:autoSpaceDN w:val="0"/>
        <w:adjustRightInd w:val="0"/>
        <w:spacing w:after="120" w:line="240" w:lineRule="auto"/>
        <w:rPr>
          <w:rFonts w:cstheme="minorHAnsi"/>
          <w:color w:val="000000" w:themeColor="text1"/>
          <w:sz w:val="18"/>
          <w:szCs w:val="18"/>
        </w:rPr>
      </w:pPr>
      <w:r w:rsidRPr="001B5C3B">
        <w:rPr>
          <w:sz w:val="18"/>
          <w:szCs w:val="18"/>
        </w:rPr>
        <w:t xml:space="preserve">2. </w:t>
      </w:r>
      <w:r w:rsidRPr="001B5C3B">
        <w:rPr>
          <w:rFonts w:cstheme="minorHAnsi"/>
          <w:color w:val="000000" w:themeColor="text1"/>
          <w:sz w:val="18"/>
          <w:szCs w:val="18"/>
        </w:rPr>
        <w:t xml:space="preserve">Non-invasive markers refine suspicion but do not by themselves establish etiology in ACTH-dependent Cushing syndrome. OD Tatar (2026) Annales </w:t>
      </w:r>
      <w:proofErr w:type="spellStart"/>
      <w:r w:rsidRPr="001B5C3B">
        <w:rPr>
          <w:rFonts w:cstheme="minorHAnsi"/>
          <w:color w:val="000000" w:themeColor="text1"/>
          <w:sz w:val="18"/>
          <w:szCs w:val="18"/>
        </w:rPr>
        <w:t>d'Endocrinologie</w:t>
      </w:r>
      <w:proofErr w:type="spellEnd"/>
    </w:p>
    <w:p w:rsidR="00E172AA" w:rsidRDefault="001B5C3B" w:rsidP="001B5C3B">
      <w:pPr>
        <w:pStyle w:val="ListHangingCV"/>
      </w:pPr>
      <w:r>
        <w:t>3. Baseline body mass index and early functional recovery after first recorded advanced therapy in rheumatoid arthritis: A real-world cohort study. Omer Denizhan Tatar, Levent Kilic, Umut Kalyoncu, Ali Ihsan Ertenli. Rheumatology International. 2026. DOI: 10.1007/s00296-026-06158-5</w:t>
      </w:r>
    </w:p>
    <w:p w:rsidR="00E172AA" w:rsidRDefault="001B5C3B">
      <w:pPr>
        <w:pStyle w:val="ListHangingCV"/>
      </w:pPr>
      <w:r>
        <w:t>4. The lactate dehydrogenase-to-albumin ratio is a prognostic biomarker in extensive-stage small-cell lung cancer. Feride Yilmaz, Serkan Yasar, Omer Denizhan Tatar, Hasan Cagri Yildirim, Deniz Can Guven, Hakan Taban, Zafer Arik, Mustafa Erman. Acta Haematologica Oncologica Turcica. 2025. DOI: https://doi.org/10.32552/2025.ActaMedica.1159</w:t>
      </w:r>
    </w:p>
    <w:p w:rsidR="00E172AA" w:rsidRDefault="001B5C3B">
      <w:pPr>
        <w:pStyle w:val="ListHangingCV"/>
      </w:pPr>
      <w:r>
        <w:t>5. HIF-1 alpha in extensive-stage small cell lung cancer: Is it truly a universal biomarker? Feride Yilmaz, Serkan Yasar, Ebrar Yazici, Sevgen Celik Onder, Omer Denizhan Tatar, Sefika Karabulut, Hasan Cagri Yildirim, Mustafa Erman. Medical Journal of Izmir Hospital. 2025.</w:t>
      </w:r>
    </w:p>
    <w:p w:rsidR="00E172AA" w:rsidRDefault="001B5C3B">
      <w:pPr>
        <w:pStyle w:val="ListHangingCV"/>
      </w:pPr>
      <w:r>
        <w:t>6. Adjuvant gemcitabine-cisplatin combination for biliary tract cancer: A real-life experience. Fatih Kus, Hasan Cagri Yildirim, Arif Akyildiz, Omer Denizhan Tatar, Alperen Ozmen, Baris Koksal, Deniz Can Guven, Omer Dizdar, Suayib Yalcin. Acta Haematologica Oncologica Turcica. 2025. DOI: 10.4274/ahot.galenos.2025.2025-6-2</w:t>
      </w:r>
    </w:p>
    <w:p w:rsidR="00E172AA" w:rsidRDefault="001B5C3B">
      <w:pPr>
        <w:pStyle w:val="ListHangingCV"/>
      </w:pPr>
      <w:r>
        <w:lastRenderedPageBreak/>
        <w:t>7. A promising prognostic indicator for pleural mesothelioma: Pan-immuno-inflammation value. Serkan Yasar, Feride Yilmaz, Omer Denizhan Tatar, Hasan Cagri Yildirim, Zafer Arik, Suayib Yalcin, Mustafa Erman. Journal of Clinical Medicine. 2025. DOI: 10.3390/jcm14155467</w:t>
      </w:r>
    </w:p>
    <w:p w:rsidR="00E172AA" w:rsidRDefault="001B5C3B">
      <w:pPr>
        <w:pStyle w:val="ListHangingCV"/>
      </w:pPr>
      <w:r>
        <w:t>8. Prognostic value of the StAN score in elderly small cell lung cancer. Feride Yilmaz, Serkan Yasar, Omer Denizhan Tatar, Hasan Cagri Yildirim, Deniz Can Guven, Burak Yasin Aktas, Hakan Taban, Zafer Arik, Mustafa Erman. Scientific Reports. 2025. DOI: 10.1038/s41598-025-08115-x</w:t>
      </w:r>
    </w:p>
    <w:p w:rsidR="00E172AA" w:rsidRDefault="001B5C3B">
      <w:pPr>
        <w:pStyle w:val="ListHangingCV"/>
      </w:pPr>
      <w:r>
        <w:t>9. Comparative analysis of prognostic potential of pretreatment blood-based biomarkers in metastatic bladder cancer: Modified Glasgow Prognostic Score. Fatih Kus, Deniz Can Guven, Hasan Cagri Yildirim, Omer Denizhan Tatar, Ilgin Koc, Mustafa Erman. Journal of Clinical Medicine. 2025. DOI: 10.3390/jcm14061954</w:t>
      </w:r>
    </w:p>
    <w:p w:rsidR="00E172AA" w:rsidRDefault="001B5C3B">
      <w:pPr>
        <w:pStyle w:val="ListHangingCV"/>
      </w:pPr>
      <w:r>
        <w:t>10. Hourly 4-minute walking breaks from sitting following aerobic exercise reduce postprandial non-HDL cholesterol in healthy young adults: A randomized crossover trial. Yasin Ak, Omer Denizhan Tatar, Yasemin Guzel, Serdar Akyel, Erdem Karabulut, Ayda Karaca. Journal of Clinical Lipidology. 2025. DOI: 10.1016/j.jacl.2025.03.007</w:t>
      </w:r>
    </w:p>
    <w:p w:rsidR="00E172AA" w:rsidRDefault="001B5C3B">
      <w:pPr>
        <w:pStyle w:val="ListHangingCV"/>
      </w:pPr>
      <w:r>
        <w:t>11. Bi-weekly irinotecan is an effective and convenient regimen in the treatment of relapsed or refractory small cell lung cancer. Feride Yilmaz, Serkan Yasar, Omer Denizhan Tatar, Hasan Cagri Yildirim, Deniz Can Guven, Arif Akyildiz, Burak Yasin Aktas, Zafer Arik, Mustafa Erman. BMC Cancer. 2024. DOI: 10.1186/s12885-024-12935-x</w:t>
      </w:r>
    </w:p>
    <w:p w:rsidR="00E172AA" w:rsidRDefault="00000000">
      <w:pPr>
        <w:pStyle w:val="ListHangingCV"/>
      </w:pPr>
      <w:r>
        <w:t>1</w:t>
      </w:r>
      <w:r w:rsidR="001B5C3B">
        <w:t>2</w:t>
      </w:r>
      <w:r>
        <w:t>. KELIM score predicts outcome in patients with platinum-resistant/refractory recurrent ovarian cancer. Fatih Kus, Deniz Can Guven, Hasan Cagri Yildirim, Arif Akyildiz, Omer Denizhan Tatar, Neyran Kertmen, Zafer Arik. Biomarkers in Medicine. 2024. DOI: 10.1080/17520363.2024.2352421</w:t>
      </w:r>
    </w:p>
    <w:p w:rsidR="00E172AA" w:rsidRDefault="00000000">
      <w:pPr>
        <w:pStyle w:val="ListHangingCV"/>
      </w:pPr>
      <w:r>
        <w:t>1</w:t>
      </w:r>
      <w:r w:rsidR="001B5C3B">
        <w:t>3</w:t>
      </w:r>
      <w:r>
        <w:t>. Sirolimus experience in adult patients with vascular malformations. Arif Akyildiz, Rashad Ismayilov, Deniz Can Guven, Hasan Cagri Yildirim, Omer Denizhan Tatar, Fatih Kus, Elvin Chalabiyev, Fatma Alev Turker, Omer Dizdar, Suayib Yalcin, Halil Ibrahim Gullu. Vascular. 2024. DOI: 10.1177/17085381241241853</w:t>
      </w:r>
    </w:p>
    <w:p w:rsidR="00E172AA" w:rsidRDefault="00000000">
      <w:pPr>
        <w:pStyle w:val="ListHangingCV"/>
      </w:pPr>
      <w:r>
        <w:t>1</w:t>
      </w:r>
      <w:r w:rsidR="001B5C3B">
        <w:t>4</w:t>
      </w:r>
      <w:r>
        <w:t>. KELIM score predicts outcome in patients with platinum-resistant/refractory recurrent ovarian cancer. Fatih Kus, Deniz C. Guven, Hasan C. Yildirim, Arif Akyildiz, Omer Denizhan Tatar, Neyran Kertmen, Zafer Arik. Biomarkers in Medicine. 2023. DOI: 10.2217/bmm-2022-0923</w:t>
      </w:r>
    </w:p>
    <w:p w:rsidR="00E172AA" w:rsidRDefault="00000000">
      <w:pPr>
        <w:pStyle w:val="ListHangingCV"/>
      </w:pPr>
      <w:r>
        <w:t>1</w:t>
      </w:r>
      <w:r w:rsidR="001B5C3B">
        <w:t>5</w:t>
      </w:r>
      <w:r>
        <w:t>. Do statins enhance the antitumor effect of trastuzumab emtansine (T-DM1)? Real-life cohort. Arif Akyildiz, Deniz Can Guven, Hasan Cagri Yildirim, Rashad Ismayilov, Omer Denizhan Tatar, Feride Yilmaz, Fatih Kus, Suayib Yalcin, Sercan Aksoy. Medicine. 2023. DOI: 10.1097/MD.0000000000033677</w:t>
      </w:r>
    </w:p>
    <w:p w:rsidR="00E172AA" w:rsidRDefault="00000000">
      <w:pPr>
        <w:pStyle w:val="ListHangingCV"/>
      </w:pPr>
      <w:r>
        <w:t>1</w:t>
      </w:r>
      <w:r w:rsidR="001B5C3B">
        <w:t>6</w:t>
      </w:r>
      <w:r>
        <w:t>. Role of the prognostic nutritional index in the treatment prediction of stage II colon cancer. Omer Denizhan Tatar, Elvin Chalabiyev, Safa Can Efil, Deniz Can Guven, Hasan Cagri Yildirim, Arif Akyildiz, Fatih Kus, Omer Dizdar, Suayib Yalcin. Research Square. 2023. DOI: 10.21203/rs.3.rs-2786751/v1</w:t>
      </w:r>
    </w:p>
    <w:p w:rsidR="00E172AA" w:rsidRDefault="00000000">
      <w:pPr>
        <w:pStyle w:val="ListHangingCV"/>
      </w:pPr>
      <w:r>
        <w:t>1</w:t>
      </w:r>
      <w:r w:rsidR="001B5C3B">
        <w:t>7</w:t>
      </w:r>
      <w:r>
        <w:t>. In rheumatoid arthritis patients receiving bDMARDs, the Charlson Comorbidity Index is more pronounced than in psoriatic arthritis. O.D. Tatar, G. Ayan, G.S. Uzun, N. Gezerer, E. Bilgin, G. Yardimci, E. Bolek, B. Farisogullari, M. Ekici, L. Kilic, U. Kalyoncu, O. Karadag, A. Akdogan, S.A. Bilgen, S. Kiraz, A. Ertenli. Annals of the Rheumatic Diseases. 2022. DOI: 10.1136/annrheumdis-2022-eular.3036</w:t>
      </w:r>
    </w:p>
    <w:p w:rsidR="00E172AA" w:rsidRDefault="00000000">
      <w:pPr>
        <w:pStyle w:val="ListHangingCV"/>
      </w:pPr>
      <w:r>
        <w:t>1</w:t>
      </w:r>
      <w:r w:rsidR="001B5C3B">
        <w:t>8</w:t>
      </w:r>
      <w:r>
        <w:t>. Dyslipidemia treatment in rheumatoid arthritis patients using bDMARDs is better than in PsA, but there is still a way to go. O.D. Tatar, G.S. Uzun, G. Ayan, N.E. Gezerer, E. Bilgin, G.K. Yardimci, E.C. Bolek, B. Farisogullari, M. Ekici, L. Kilic, A. Akdogan, O. Karadag, S.A. Bilgen, S. Kiraz, U. Kalyoncu, A.I. Ertenli. Annals of the Rheumatic Diseases. 2022. DOI: 10.1136/annrheumdis-2022-eular.3032</w:t>
      </w:r>
    </w:p>
    <w:p w:rsidR="00AE6DA6" w:rsidRDefault="00000000">
      <w:pPr>
        <w:pStyle w:val="ListHangingCV"/>
      </w:pPr>
      <w:r>
        <w:t>1</w:t>
      </w:r>
      <w:r w:rsidR="001B5C3B">
        <w:t>9</w:t>
      </w:r>
      <w:r>
        <w:t>. The frequency and prevalence of coronary artery disease and premature CAD in PsA and RA patients. O.D. Tatar, G. Ayan, G. Sandal Uzun, N.E. Gezerer, E. Bilgin, G.K. Yardimci, E.C. Bolek, B. Farisogullari, M. Ekici, L. Kilic, A. Akdogan, O. Karadag, S.A. Bilgen, S. Kiraz, A.I. Ertenli, U. Kalyoncu. Annals of the Rheumatic Diseases. 2022. DOI: 10.1136/annrheumdis-2022-eular.2954</w:t>
      </w:r>
    </w:p>
    <w:tbl>
      <w:tblPr>
        <w:tblW w:w="0" w:type="auto"/>
        <w:tblBorders>
          <w:top w:val="nil"/>
          <w:left w:val="nil"/>
          <w:bottom w:val="nil"/>
          <w:right w:val="nil"/>
          <w:insideH w:val="nil"/>
          <w:insideV w:val="nil"/>
        </w:tblBorders>
        <w:tblLook w:val="04A0" w:firstRow="1" w:lastRow="0" w:firstColumn="1" w:lastColumn="0" w:noHBand="0" w:noVBand="1"/>
      </w:tblPr>
      <w:tblGrid>
        <w:gridCol w:w="10092"/>
      </w:tblGrid>
      <w:tr w:rsidR="00E172AA">
        <w:tc>
          <w:tcPr>
            <w:tcW w:w="10092" w:type="dxa"/>
            <w:shd w:val="clear" w:color="auto" w:fill="1F4E79"/>
            <w:tcMar>
              <w:top w:w="55" w:type="dxa"/>
              <w:left w:w="110" w:type="dxa"/>
              <w:bottom w:w="65" w:type="dxa"/>
              <w:right w:w="100" w:type="dxa"/>
            </w:tcMar>
          </w:tcPr>
          <w:p w:rsidR="00E172AA" w:rsidRDefault="00000000">
            <w:pPr>
              <w:pStyle w:val="SectionHeadingCV"/>
            </w:pPr>
            <w:r>
              <w:t>POSTERS AND PRESENTATIONS</w:t>
            </w:r>
          </w:p>
        </w:tc>
      </w:tr>
    </w:tbl>
    <w:p w:rsidR="00AE6DA6" w:rsidRDefault="00000000">
      <w:pPr>
        <w:spacing w:before="40"/>
      </w:pPr>
      <w:r>
        <w:rPr>
          <w:b/>
          <w:sz w:val="18"/>
        </w:rPr>
        <w:t>Oral Presentations</w:t>
      </w:r>
    </w:p>
    <w:p w:rsidR="00AE6DA6" w:rsidRDefault="00000000">
      <w:pPr>
        <w:pStyle w:val="ListHangingCV"/>
      </w:pPr>
      <w:r>
        <w:t>1. Choroidal microvascular changes across the spectrum of Graves' disease: A four-group comparative analysis. O.D. Tatar, A.O. Gundogan. KEDD Course 2026.</w:t>
      </w:r>
    </w:p>
    <w:p w:rsidR="00AE6DA6" w:rsidRDefault="00000000">
      <w:pPr>
        <w:pStyle w:val="ListHangingCV"/>
      </w:pPr>
      <w:r>
        <w:t>2. Cushing disease with an atypical clinical course presenting with avascular necrosis: A case diagnosed after five years. H. Erdogan Ozbugday, O.D. Tatar, M.E. Elbistan, C. Akkaya, M. Karakose. KEDD Course 2026.</w:t>
      </w:r>
    </w:p>
    <w:p w:rsidR="00AE6DA6" w:rsidRDefault="00000000">
      <w:pPr>
        <w:pStyle w:val="ListHangingCV"/>
      </w:pPr>
      <w:r>
        <w:t>3. Acute metabolic effects of interrupting sitting with walking breaks after aerobic exercise. Yasin Ak, Yasemin Guzel, Serdar Akyel, Omer Denizhan Tatar, Erdem Karabulut, Ayda Karaca. 22nd International Sports Sciences Congress. 2024.</w:t>
      </w:r>
    </w:p>
    <w:p w:rsidR="00AE6DA6" w:rsidRDefault="00000000">
      <w:pPr>
        <w:spacing w:before="40"/>
      </w:pPr>
      <w:r>
        <w:rPr>
          <w:b/>
          <w:sz w:val="18"/>
        </w:rPr>
        <w:t>Poster Presentations</w:t>
      </w:r>
    </w:p>
    <w:p w:rsidR="00E172AA" w:rsidRDefault="00000000">
      <w:pPr>
        <w:pStyle w:val="ListHangingCV"/>
      </w:pPr>
      <w:r>
        <w:t>1. Association of DAS28 remission and comorbid diseases in rheumatoid arthritis patients receiving bDMARD treatment. O.D. Tatar, G.S. Uzun, E. Bilgin, G.K. Yardimci, E. Bolek, B. Farisogullari, E. Duran, G. Ayan, M. Ekici, L. Kilic, U. Kalyoncu, O. Karadag, A. Akdogan, S. Bilgen, S. Kiraz, A. Ertenli. XXII National Congress of Rheumatology. 2022. Journal of Turkish Society for Rheumatology.</w:t>
      </w:r>
    </w:p>
    <w:p w:rsidR="00E172AA" w:rsidRDefault="00000000">
      <w:pPr>
        <w:pStyle w:val="ListHangingCV"/>
      </w:pPr>
      <w:r>
        <w:t>2. Dyslipidemia treatment in rheumatoid arthritis patients using bDMARDs is better than in PsA, but there is still a way to go. G.S. Uzun, O.D. Tatar, N.E. Gezerer, E. Bilgin, G.K. Yardimci, E. Bolek, B. Farisogullari, E. Duran, G. Ayan, M. Ekici, L. Kilic, U. Kalyoncu, O. Karadag, A. Akdogan, S. Bilgen, S. Kiraz, A. Ertenli. XXII National Congress of Rheumatology. 2022. Journal of Turkish Society for Rheumatology.</w:t>
      </w:r>
    </w:p>
    <w:p w:rsidR="00E172AA" w:rsidRDefault="00000000">
      <w:pPr>
        <w:pStyle w:val="ListHangingCV"/>
      </w:pPr>
      <w:r>
        <w:t>3. Prevalence of obesity in rheumatoid arthritis patients using bDMARD treatment and its effect on disease activity. O.D. Tatar, G.S. Uzun, E. Bilgin, G.K. Yardimci, E. Bolek, B. Farisogullari, G. Ayan, M. Ekici, L. Kilic, U. Kalyoncu, O. Karadag, A. Akdogan, S. Bilgen, S. Kiraz, A. Ertenli. XXII National Congress of Rheumatology. 2022. Journal of Turkish Society for Rheumatology.</w:t>
      </w:r>
    </w:p>
    <w:p w:rsidR="00E172AA" w:rsidRDefault="00000000">
      <w:pPr>
        <w:pStyle w:val="ListHangingCV"/>
      </w:pPr>
      <w:r>
        <w:t>4. In rheumatoid arthritis patients receiving bDMARDs, the Charlson Comorbidity Index is more pronounced than in psoriatic arthritis. G.S. Uzun, O.D. Tatar, N.E. Gezerer, E. Bilgin, G.K. Yardimci, E. Bolek, B. Farisogullari, E. Duran, G. Ayan, M. Ekici, L. Kilic, U. Kalyoncu, O. Karadag, A. Akdogan, S. Bilgen, S. Kiraz, A. Ertenli. XXII National Congress of Rheumatology. 2022. Journal of Turkish Society for Rheumatology.</w:t>
      </w:r>
    </w:p>
    <w:p w:rsidR="00E172AA" w:rsidRDefault="00000000">
      <w:pPr>
        <w:pStyle w:val="ListHangingCV"/>
      </w:pPr>
      <w:r>
        <w:lastRenderedPageBreak/>
        <w:t>5. The frequency and prevalence of coronary artery disease and premature CAD in PsA and RA patients. G. Ayan, G.S. Uzun, O.D. Tatar, N.E. Gezerer, E. Bilgin, G.K. Yardimci, E. Bolek, B. Farisogullari, E. Duran, G. Ayan, M. Ekici, L. Kilic, U. Kalyoncu, O. Karadag, A. Akdogan, S. Bilgen, S. Kiraz, A. Ertenli. XXII National Congress of Rheumatology. 2022. Journal of Turkish Society for Rheumatology.</w:t>
      </w:r>
    </w:p>
    <w:tbl>
      <w:tblPr>
        <w:tblW w:w="0" w:type="auto"/>
        <w:tblBorders>
          <w:top w:val="nil"/>
          <w:left w:val="nil"/>
          <w:bottom w:val="nil"/>
          <w:right w:val="nil"/>
          <w:insideH w:val="nil"/>
          <w:insideV w:val="nil"/>
        </w:tblBorders>
        <w:tblLook w:val="04A0" w:firstRow="1" w:lastRow="0" w:firstColumn="1" w:lastColumn="0" w:noHBand="0" w:noVBand="1"/>
      </w:tblPr>
      <w:tblGrid>
        <w:gridCol w:w="10092"/>
      </w:tblGrid>
      <w:tr w:rsidR="00E172AA">
        <w:tc>
          <w:tcPr>
            <w:tcW w:w="10092" w:type="dxa"/>
            <w:shd w:val="clear" w:color="auto" w:fill="1F4E79"/>
            <w:tcMar>
              <w:top w:w="55" w:type="dxa"/>
              <w:left w:w="110" w:type="dxa"/>
              <w:bottom w:w="65" w:type="dxa"/>
              <w:right w:w="100" w:type="dxa"/>
            </w:tcMar>
          </w:tcPr>
          <w:p w:rsidR="00E172AA" w:rsidRDefault="00000000">
            <w:pPr>
              <w:pStyle w:val="SectionHeadingCV"/>
            </w:pPr>
            <w:r>
              <w:t>BOOK CHAPTER</w:t>
            </w:r>
          </w:p>
        </w:tc>
      </w:tr>
    </w:tbl>
    <w:p w:rsidR="00AE6DA6" w:rsidRDefault="00000000">
      <w:pPr>
        <w:pStyle w:val="ListHangingCV"/>
      </w:pPr>
      <w:r>
        <w:t>1. Book title: Overview of Thyroid Diseases. Chapter: Thyroid Hormone and Laboratory Evaluation. Omer Denizhan Tatar. Editor: Oguzhan Aksu. Livre de Lyon. 1st ed. 166 pages. ISBN: 979-10-7023-009-1. Chapter pages: 7-34.</w:t>
      </w:r>
    </w:p>
    <w:sectPr w:rsidR="00AE6DA6" w:rsidSect="00034616">
      <w:footerReference w:type="default" r:id="rId9"/>
      <w:pgSz w:w="11906" w:h="16838"/>
      <w:pgMar w:top="737" w:right="850" w:bottom="709"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338F" w:rsidRDefault="00D1338F">
      <w:pPr>
        <w:spacing w:after="0" w:line="240" w:lineRule="auto"/>
      </w:pPr>
      <w:r>
        <w:separator/>
      </w:r>
    </w:p>
  </w:endnote>
  <w:endnote w:type="continuationSeparator" w:id="0">
    <w:p w:rsidR="00D1338F" w:rsidRDefault="00D1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2AA" w:rsidRDefault="00000000">
    <w:pPr>
      <w:pStyle w:val="AltBilgi"/>
      <w:jc w:val="center"/>
    </w:pPr>
    <w:r>
      <w:rPr>
        <w:color w:val="787878"/>
        <w:sz w:val="18"/>
      </w:rPr>
      <w:t xml:space="preserve">Curriculum Vitae - Page </w:t>
    </w:r>
    <w:r>
      <w:fldChar w:fldCharType="begin"/>
    </w:r>
    <w:r>
      <w:instrText>PAGE</w:instrText>
    </w:r>
    <w:r>
      <w:fldChar w:fldCharType="separate"/>
    </w:r>
    <w:r>
      <w:t>1</w:t>
    </w:r>
    <w:r>
      <w:fldChar w:fldCharType="end"/>
    </w:r>
    <w:r>
      <w:rPr>
        <w:color w:val="787878"/>
        <w:sz w:val="18"/>
      </w:rPr>
      <w:t xml:space="preserve"> of </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338F" w:rsidRDefault="00D1338F">
      <w:pPr>
        <w:spacing w:after="0" w:line="240" w:lineRule="auto"/>
      </w:pPr>
      <w:r>
        <w:separator/>
      </w:r>
    </w:p>
  </w:footnote>
  <w:footnote w:type="continuationSeparator" w:id="0">
    <w:p w:rsidR="00D1338F" w:rsidRDefault="00D1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C980A57"/>
    <w:multiLevelType w:val="hybridMultilevel"/>
    <w:tmpl w:val="800003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2933D8"/>
    <w:multiLevelType w:val="hybridMultilevel"/>
    <w:tmpl w:val="27020334"/>
    <w:lvl w:ilvl="0" w:tplc="317A7CA8">
      <w:start w:val="1"/>
      <w:numFmt w:val="decimal"/>
      <w:lvlText w:val="%1-"/>
      <w:lvlJc w:val="left"/>
      <w:pPr>
        <w:ind w:left="360" w:hanging="360"/>
      </w:pPr>
      <w:rPr>
        <w:rFonts w:asciiTheme="minorHAnsi" w:hAnsiTheme="minorHAnsi" w:cstheme="minorBidi" w:hint="default"/>
        <w:color w:val="auto"/>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47418239">
    <w:abstractNumId w:val="8"/>
  </w:num>
  <w:num w:numId="2" w16cid:durableId="1267888714">
    <w:abstractNumId w:val="6"/>
  </w:num>
  <w:num w:numId="3" w16cid:durableId="1320622512">
    <w:abstractNumId w:val="5"/>
  </w:num>
  <w:num w:numId="4" w16cid:durableId="884410502">
    <w:abstractNumId w:val="4"/>
  </w:num>
  <w:num w:numId="5" w16cid:durableId="170531150">
    <w:abstractNumId w:val="7"/>
  </w:num>
  <w:num w:numId="6" w16cid:durableId="302006424">
    <w:abstractNumId w:val="3"/>
  </w:num>
  <w:num w:numId="7" w16cid:durableId="1395351020">
    <w:abstractNumId w:val="2"/>
  </w:num>
  <w:num w:numId="8" w16cid:durableId="257180586">
    <w:abstractNumId w:val="1"/>
  </w:num>
  <w:num w:numId="9" w16cid:durableId="517084449">
    <w:abstractNumId w:val="0"/>
  </w:num>
  <w:num w:numId="10" w16cid:durableId="1230312925">
    <w:abstractNumId w:val="10"/>
  </w:num>
  <w:num w:numId="11" w16cid:durableId="1709448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29AD"/>
    <w:rsid w:val="0015074B"/>
    <w:rsid w:val="001B5C3B"/>
    <w:rsid w:val="002328F5"/>
    <w:rsid w:val="0029639D"/>
    <w:rsid w:val="00326F90"/>
    <w:rsid w:val="004143D7"/>
    <w:rsid w:val="004B3E0D"/>
    <w:rsid w:val="004D4CE5"/>
    <w:rsid w:val="00562903"/>
    <w:rsid w:val="005D3997"/>
    <w:rsid w:val="005F2723"/>
    <w:rsid w:val="00694F49"/>
    <w:rsid w:val="00765660"/>
    <w:rsid w:val="00785075"/>
    <w:rsid w:val="0089178E"/>
    <w:rsid w:val="008C5C4A"/>
    <w:rsid w:val="00981D4C"/>
    <w:rsid w:val="00A5648B"/>
    <w:rsid w:val="00A93614"/>
    <w:rsid w:val="00AA1D8D"/>
    <w:rsid w:val="00AE6DA6"/>
    <w:rsid w:val="00B47730"/>
    <w:rsid w:val="00B94ACD"/>
    <w:rsid w:val="00C5400E"/>
    <w:rsid w:val="00CB0664"/>
    <w:rsid w:val="00D1338F"/>
    <w:rsid w:val="00DC45A3"/>
    <w:rsid w:val="00DE56D0"/>
    <w:rsid w:val="00E172AA"/>
    <w:rsid w:val="00F575CE"/>
    <w:rsid w:val="00FC693F"/>
    <w:rsid w:val="00FE2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1FD75"/>
  <w14:defaultImageDpi w14:val="300"/>
  <w15:docId w15:val="{A69D43E0-0632-FB42-ABAD-684EABC7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
    </w:pPr>
    <w:rPr>
      <w:rFonts w:ascii="Calibri" w:eastAsia="Calibri" w:hAnsi="Calibri"/>
      <w:sz w:val="20"/>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Name">
    <w:name w:val="CV Name"/>
    <w:pPr>
      <w:spacing w:after="20"/>
    </w:pPr>
    <w:rPr>
      <w:rFonts w:ascii="Cambria" w:eastAsia="Cambria" w:hAnsi="Cambria"/>
      <w:b/>
      <w:color w:val="1F4E79"/>
      <w:sz w:val="40"/>
    </w:rPr>
  </w:style>
  <w:style w:type="paragraph" w:customStyle="1" w:styleId="CVSubtitle">
    <w:name w:val="CV Subtitle"/>
    <w:pPr>
      <w:spacing w:after="120"/>
    </w:pPr>
    <w:rPr>
      <w:rFonts w:ascii="Calibri" w:eastAsia="Calibri" w:hAnsi="Calibri"/>
      <w:color w:val="444444"/>
    </w:rPr>
  </w:style>
  <w:style w:type="paragraph" w:customStyle="1" w:styleId="SectionHeadingCV">
    <w:name w:val="Section Heading CV"/>
    <w:pPr>
      <w:spacing w:before="160" w:after="0"/>
    </w:pPr>
    <w:rPr>
      <w:rFonts w:ascii="Cambria" w:eastAsia="Cambria" w:hAnsi="Cambria"/>
      <w:b/>
      <w:color w:val="FFFFFF"/>
      <w:sz w:val="24"/>
    </w:rPr>
  </w:style>
  <w:style w:type="paragraph" w:customStyle="1" w:styleId="ListHangingCV">
    <w:name w:val="List Hanging CV"/>
    <w:pPr>
      <w:spacing w:after="40" w:line="240" w:lineRule="auto"/>
      <w:ind w:left="312" w:hanging="312"/>
    </w:pPr>
    <w:rPr>
      <w:rFonts w:ascii="Calibri" w:eastAsia="Calibri" w:hAnsi="Calibri"/>
      <w:sz w:val="18"/>
    </w:rPr>
  </w:style>
  <w:style w:type="character" w:styleId="Kpr">
    <w:name w:val="Hyperlink"/>
    <w:basedOn w:val="VarsaylanParagrafYazTipi"/>
    <w:uiPriority w:val="99"/>
    <w:unhideWhenUsed/>
    <w:rsid w:val="00DC45A3"/>
    <w:rPr>
      <w:color w:val="0000FF" w:themeColor="hyperlink"/>
      <w:u w:val="single"/>
    </w:rPr>
  </w:style>
  <w:style w:type="character" w:styleId="zmlenmeyenBahsetme">
    <w:name w:val="Unresolved Mention"/>
    <w:basedOn w:val="VarsaylanParagrafYazTipi"/>
    <w:uiPriority w:val="99"/>
    <w:semiHidden/>
    <w:unhideWhenUsed/>
    <w:rsid w:val="00DC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nizhanm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14</cp:revision>
  <dcterms:created xsi:type="dcterms:W3CDTF">2013-12-23T23:15:00Z</dcterms:created>
  <dcterms:modified xsi:type="dcterms:W3CDTF">2026-06-16T22:05:00Z</dcterms:modified>
  <cp:category/>
</cp:coreProperties>
</file>